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CF" w:rsidRPr="00F63A82" w:rsidRDefault="007A2ACF" w:rsidP="00BB4123">
      <w:pPr>
        <w:tabs>
          <w:tab w:val="left" w:pos="3069"/>
        </w:tabs>
        <w:spacing w:after="16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3A82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7A2ACF" w:rsidRPr="00BB4123" w:rsidRDefault="007A2ACF" w:rsidP="00BB4123">
      <w:pPr>
        <w:tabs>
          <w:tab w:val="left" w:pos="3069"/>
        </w:tabs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к Стандарт</w:t>
      </w:r>
      <w:r w:rsidR="00F63A82">
        <w:rPr>
          <w:rFonts w:ascii="Times New Roman" w:hAnsi="Times New Roman" w:cs="Times New Roman"/>
          <w:sz w:val="24"/>
          <w:szCs w:val="24"/>
        </w:rPr>
        <w:t>у</w:t>
      </w:r>
      <w:r w:rsidRPr="00BB4123">
        <w:rPr>
          <w:rFonts w:ascii="Times New Roman" w:hAnsi="Times New Roman" w:cs="Times New Roman"/>
          <w:sz w:val="24"/>
          <w:szCs w:val="24"/>
        </w:rPr>
        <w:t xml:space="preserve"> НАУФОР </w:t>
      </w:r>
    </w:p>
    <w:p w:rsidR="007A2ACF" w:rsidRPr="00BB4123" w:rsidRDefault="00F63A82" w:rsidP="00BB4123">
      <w:pPr>
        <w:tabs>
          <w:tab w:val="left" w:pos="3069"/>
        </w:tabs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7A2ACF" w:rsidRPr="00BB4123">
        <w:rPr>
          <w:rFonts w:ascii="Times New Roman" w:hAnsi="Times New Roman" w:cs="Times New Roman"/>
          <w:sz w:val="24"/>
          <w:szCs w:val="24"/>
        </w:rPr>
        <w:t xml:space="preserve">определения стоимости чистых активов </w:t>
      </w:r>
    </w:p>
    <w:p w:rsidR="007A2ACF" w:rsidRPr="00BB4123" w:rsidRDefault="007A2ACF" w:rsidP="00BB4123">
      <w:pPr>
        <w:tabs>
          <w:tab w:val="left" w:pos="3069"/>
        </w:tabs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паевого инвестиционного фонда</w:t>
      </w:r>
    </w:p>
    <w:p w:rsidR="007A2ACF" w:rsidRPr="00BB4123" w:rsidRDefault="007A2ACF" w:rsidP="00BB4123">
      <w:pPr>
        <w:tabs>
          <w:tab w:val="left" w:pos="3069"/>
        </w:tabs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 и стоимости инвестиционного пая</w:t>
      </w:r>
    </w:p>
    <w:p w:rsidR="007A2ACF" w:rsidRDefault="007A2ACF" w:rsidP="00593545">
      <w:pPr>
        <w:autoSpaceDE w:val="0"/>
        <w:autoSpaceDN w:val="0"/>
        <w:spacing w:before="120" w:after="120" w:line="360" w:lineRule="auto"/>
        <w:jc w:val="right"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</w:p>
    <w:p w:rsidR="00F63A82" w:rsidRDefault="00F63A82" w:rsidP="00593545">
      <w:pPr>
        <w:autoSpaceDE w:val="0"/>
        <w:autoSpaceDN w:val="0"/>
        <w:spacing w:before="120" w:after="120" w:line="360" w:lineRule="auto"/>
        <w:jc w:val="right"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</w:p>
    <w:p w:rsidR="00F63A82" w:rsidRPr="00BB4123" w:rsidRDefault="00F63A82" w:rsidP="00593545">
      <w:pPr>
        <w:autoSpaceDE w:val="0"/>
        <w:autoSpaceDN w:val="0"/>
        <w:spacing w:before="120" w:after="120" w:line="360" w:lineRule="auto"/>
        <w:jc w:val="right"/>
        <w:rPr>
          <w:rFonts w:ascii="Times New Roman" w:hAnsi="Times New Roman" w:cs="Times New Roman"/>
          <w:b/>
          <w:bCs/>
          <w:color w:val="943634"/>
          <w:sz w:val="24"/>
          <w:szCs w:val="24"/>
        </w:rPr>
      </w:pPr>
    </w:p>
    <w:p w:rsidR="00BB4123" w:rsidRPr="00BB4123" w:rsidRDefault="00BF28AF" w:rsidP="00BB4123">
      <w:pPr>
        <w:autoSpaceDE w:val="0"/>
        <w:autoSpaceDN w:val="0"/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28AF">
        <w:rPr>
          <w:rFonts w:ascii="Times New Roman" w:eastAsia="Calibri" w:hAnsi="Times New Roman" w:cs="Times New Roman"/>
          <w:b/>
          <w:sz w:val="24"/>
          <w:szCs w:val="24"/>
        </w:rPr>
        <w:t>Признание и обесценение операционной дебиторской задолженности</w:t>
      </w:r>
    </w:p>
    <w:p w:rsidR="00BB4123" w:rsidRPr="00BB4123" w:rsidRDefault="00BB412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B4123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865C2D" w:rsidRPr="00BB4123" w:rsidRDefault="00865C2D" w:rsidP="00BB4123">
      <w:pPr>
        <w:autoSpaceDE w:val="0"/>
        <w:autoSpaceDN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Операционная дебиторская задолженность</w:t>
      </w:r>
      <w:r w:rsidRPr="00BB4123">
        <w:rPr>
          <w:rFonts w:ascii="Times New Roman" w:hAnsi="Times New Roman" w:cs="Times New Roman"/>
          <w:sz w:val="24"/>
          <w:szCs w:val="24"/>
        </w:rPr>
        <w:t xml:space="preserve"> – дебиторская задолженность контрагента, возникающая в ходе нормального операционного цикла, которая будет погашена в течение сроков, установленных в настоящих Правилах определения СЧА. Допустимые сроки просрочки, установленные для операционной дебиторской задолженности, не должны приводить к признанию безнадежной к получению задолженности, а также к обесценению задолженности. Такая задолженность будет реализована управляющей компанией в полном объеме в сроки, укладывающиеся в нормальную рыночную (или внутреннюю) практику взаимодействия с конкретным видом дебиторской задолженности. Установленные сроки просрочки и исполнения обязательств не должны превышать рекомендуемых сроков в настоящих Правилах определения СЧА, если иное не подтверждено внутренней статистикой управляющей компании. Операционная дебиторская задолженность оценивается по номиналу в случае отсутствия иных факторов обесценения.</w:t>
      </w:r>
    </w:p>
    <w:p w:rsidR="00E814B6" w:rsidRPr="00BB4123" w:rsidRDefault="00E814B6" w:rsidP="00BB4123">
      <w:pPr>
        <w:autoSpaceDE w:val="0"/>
        <w:autoSpaceDN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Дебиторская задолженность, по которой выявлен один или несколько признаков обесценения, указанных </w:t>
      </w:r>
      <w:r w:rsidR="00BF28AF" w:rsidRPr="00222C10">
        <w:rPr>
          <w:rFonts w:ascii="Times New Roman" w:hAnsi="Times New Roman" w:cs="Times New Roman"/>
          <w:sz w:val="24"/>
          <w:szCs w:val="24"/>
        </w:rPr>
        <w:t xml:space="preserve">в </w:t>
      </w:r>
      <w:r w:rsidR="00BB4123" w:rsidRPr="00222C10">
        <w:rPr>
          <w:rFonts w:ascii="Times New Roman" w:hAnsi="Times New Roman" w:cs="Times New Roman"/>
          <w:sz w:val="24"/>
          <w:szCs w:val="24"/>
        </w:rPr>
        <w:t>П</w:t>
      </w:r>
      <w:r w:rsidR="00BF28AF" w:rsidRPr="00222C10">
        <w:rPr>
          <w:rFonts w:ascii="Times New Roman" w:hAnsi="Times New Roman" w:cs="Times New Roman"/>
          <w:sz w:val="24"/>
          <w:szCs w:val="24"/>
        </w:rPr>
        <w:t>риложении</w:t>
      </w:r>
      <w:r w:rsidR="00BB4123" w:rsidRPr="00222C10">
        <w:rPr>
          <w:rFonts w:ascii="Times New Roman" w:hAnsi="Times New Roman" w:cs="Times New Roman"/>
          <w:sz w:val="24"/>
          <w:szCs w:val="24"/>
        </w:rPr>
        <w:t xml:space="preserve"> </w:t>
      </w:r>
      <w:r w:rsidR="00222C10" w:rsidRPr="00222C10">
        <w:rPr>
          <w:rFonts w:ascii="Times New Roman" w:hAnsi="Times New Roman" w:cs="Times New Roman"/>
          <w:sz w:val="24"/>
          <w:szCs w:val="24"/>
        </w:rPr>
        <w:t xml:space="preserve">№ </w:t>
      </w:r>
      <w:r w:rsidR="00BB4123" w:rsidRPr="00222C10">
        <w:rPr>
          <w:rFonts w:ascii="Times New Roman" w:hAnsi="Times New Roman" w:cs="Times New Roman"/>
          <w:sz w:val="24"/>
          <w:szCs w:val="24"/>
        </w:rPr>
        <w:t>5</w:t>
      </w:r>
      <w:r w:rsidR="00415A14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="00222C10">
        <w:rPr>
          <w:rFonts w:ascii="Times New Roman" w:hAnsi="Times New Roman" w:cs="Times New Roman"/>
          <w:sz w:val="24"/>
          <w:szCs w:val="24"/>
        </w:rPr>
        <w:t>к настоящему Стандарту</w:t>
      </w:r>
      <w:r w:rsidR="00415A14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Pr="00BB4123">
        <w:rPr>
          <w:rFonts w:ascii="Times New Roman" w:hAnsi="Times New Roman" w:cs="Times New Roman"/>
          <w:sz w:val="24"/>
          <w:szCs w:val="24"/>
        </w:rPr>
        <w:t>по оценке кредитных рисков, кроме допустимой просрочки обязательств в рамках операционного цикла, не может быть признана операционной.</w:t>
      </w:r>
    </w:p>
    <w:p w:rsidR="005A0DBE" w:rsidRDefault="005A0DBE" w:rsidP="005A0DBE">
      <w:pPr>
        <w:autoSpaceDE w:val="0"/>
        <w:autoSpaceDN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0DBE">
        <w:rPr>
          <w:rFonts w:ascii="Times New Roman" w:hAnsi="Times New Roman" w:cs="Times New Roman"/>
          <w:sz w:val="24"/>
          <w:szCs w:val="24"/>
        </w:rPr>
        <w:t>Дебиторская задолженность с повышенным уровнем риска невозврата не может быть признана операционной (например, если у контрагента отсутствуют источники погашения такой задолженности).</w:t>
      </w:r>
    </w:p>
    <w:p w:rsidR="00865C2D" w:rsidRPr="00BB4123" w:rsidRDefault="00865C2D" w:rsidP="005A0DBE">
      <w:pPr>
        <w:autoSpaceDE w:val="0"/>
        <w:autoSpaceDN w:val="0"/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Управляющая компания должна проводить анализ </w:t>
      </w:r>
      <w:r w:rsidR="00415A14" w:rsidRPr="00BB4123"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BB4123">
        <w:rPr>
          <w:rFonts w:ascii="Times New Roman" w:hAnsi="Times New Roman" w:cs="Times New Roman"/>
          <w:sz w:val="24"/>
          <w:szCs w:val="24"/>
        </w:rPr>
        <w:t xml:space="preserve"> риска по дебиторской задолженности, которая ранее была признана операционной</w:t>
      </w:r>
      <w:r w:rsidR="00BC5205" w:rsidRPr="00BB4123">
        <w:rPr>
          <w:rFonts w:ascii="Times New Roman" w:hAnsi="Times New Roman" w:cs="Times New Roman"/>
          <w:sz w:val="24"/>
          <w:szCs w:val="24"/>
        </w:rPr>
        <w:t>,</w:t>
      </w:r>
      <w:r w:rsidRPr="00BB4123">
        <w:rPr>
          <w:rFonts w:ascii="Times New Roman" w:hAnsi="Times New Roman" w:cs="Times New Roman"/>
          <w:sz w:val="24"/>
          <w:szCs w:val="24"/>
        </w:rPr>
        <w:t xml:space="preserve"> и по </w:t>
      </w:r>
      <w:r w:rsidR="00BC5205" w:rsidRPr="00BB4123">
        <w:rPr>
          <w:rFonts w:ascii="Times New Roman" w:hAnsi="Times New Roman" w:cs="Times New Roman"/>
          <w:sz w:val="24"/>
          <w:szCs w:val="24"/>
        </w:rPr>
        <w:t xml:space="preserve">иной </w:t>
      </w:r>
      <w:r w:rsidRPr="00BB4123">
        <w:rPr>
          <w:rFonts w:ascii="Times New Roman" w:hAnsi="Times New Roman" w:cs="Times New Roman"/>
          <w:sz w:val="24"/>
          <w:szCs w:val="24"/>
        </w:rPr>
        <w:t xml:space="preserve">дебиторской задолженности, признание которой осуществляется. </w:t>
      </w:r>
    </w:p>
    <w:p w:rsidR="00865C2D" w:rsidRPr="00BB4123" w:rsidRDefault="00865C2D" w:rsidP="00BB4123">
      <w:pPr>
        <w:autoSpaceDE w:val="0"/>
        <w:autoSpaceDN w:val="0"/>
        <w:spacing w:before="12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Анализ уровня риска проводится: </w:t>
      </w:r>
    </w:p>
    <w:p w:rsidR="00865C2D" w:rsidRPr="00BB4123" w:rsidRDefault="00865C2D" w:rsidP="00865C2D">
      <w:pPr>
        <w:pStyle w:val="a3"/>
        <w:numPr>
          <w:ilvl w:val="0"/>
          <w:numId w:val="9"/>
        </w:num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на каждую </w:t>
      </w:r>
      <w:r w:rsidR="00304A07" w:rsidRPr="00C30488">
        <w:rPr>
          <w:rFonts w:ascii="Times New Roman" w:hAnsi="Times New Roman" w:cs="Times New Roman"/>
          <w:sz w:val="24"/>
          <w:szCs w:val="24"/>
        </w:rPr>
        <w:t>дату определения СЧА</w:t>
      </w:r>
      <w:r w:rsidRPr="00C30488">
        <w:rPr>
          <w:rFonts w:ascii="Times New Roman" w:hAnsi="Times New Roman" w:cs="Times New Roman"/>
          <w:sz w:val="24"/>
          <w:szCs w:val="24"/>
        </w:rPr>
        <w:t>,</w:t>
      </w:r>
      <w:r w:rsidRPr="00BB4123">
        <w:rPr>
          <w:rFonts w:ascii="Times New Roman" w:hAnsi="Times New Roman" w:cs="Times New Roman"/>
          <w:sz w:val="24"/>
          <w:szCs w:val="24"/>
        </w:rPr>
        <w:t xml:space="preserve"> установленную Правилами определения СЧА ПИФ;</w:t>
      </w:r>
    </w:p>
    <w:p w:rsidR="00865C2D" w:rsidRPr="00BB4123" w:rsidRDefault="00865C2D" w:rsidP="00865C2D">
      <w:pPr>
        <w:pStyle w:val="a3"/>
        <w:numPr>
          <w:ilvl w:val="0"/>
          <w:numId w:val="9"/>
        </w:num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при первоначальном приз</w:t>
      </w:r>
      <w:r w:rsidR="00166E56" w:rsidRPr="00BB4123">
        <w:rPr>
          <w:rFonts w:ascii="Times New Roman" w:hAnsi="Times New Roman" w:cs="Times New Roman"/>
          <w:sz w:val="24"/>
          <w:szCs w:val="24"/>
        </w:rPr>
        <w:t>нании дебиторской задолженности;</w:t>
      </w:r>
    </w:p>
    <w:p w:rsidR="00166E56" w:rsidRPr="00BB4123" w:rsidRDefault="00166E56" w:rsidP="00865C2D">
      <w:pPr>
        <w:pStyle w:val="a3"/>
        <w:numPr>
          <w:ilvl w:val="0"/>
          <w:numId w:val="9"/>
        </w:num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на момент перехода дебиторской задолженности из статуса </w:t>
      </w:r>
      <w:r w:rsidR="007230E4" w:rsidRPr="00BB4123">
        <w:rPr>
          <w:rFonts w:ascii="Times New Roman" w:hAnsi="Times New Roman" w:cs="Times New Roman"/>
          <w:sz w:val="24"/>
          <w:szCs w:val="24"/>
        </w:rPr>
        <w:t>«</w:t>
      </w:r>
      <w:r w:rsidRPr="00BB4123">
        <w:rPr>
          <w:rFonts w:ascii="Times New Roman" w:hAnsi="Times New Roman" w:cs="Times New Roman"/>
          <w:sz w:val="24"/>
          <w:szCs w:val="24"/>
        </w:rPr>
        <w:t>операционной</w:t>
      </w:r>
      <w:r w:rsidR="007230E4" w:rsidRPr="00BB4123">
        <w:rPr>
          <w:rFonts w:ascii="Times New Roman" w:hAnsi="Times New Roman" w:cs="Times New Roman"/>
          <w:sz w:val="24"/>
          <w:szCs w:val="24"/>
        </w:rPr>
        <w:t>»</w:t>
      </w:r>
      <w:r w:rsidRPr="00BB4123">
        <w:rPr>
          <w:rFonts w:ascii="Times New Roman" w:hAnsi="Times New Roman" w:cs="Times New Roman"/>
          <w:sz w:val="24"/>
          <w:szCs w:val="24"/>
        </w:rPr>
        <w:t xml:space="preserve"> в статус «просроченной».</w:t>
      </w:r>
    </w:p>
    <w:p w:rsidR="00865C2D" w:rsidRPr="00BB4123" w:rsidRDefault="00865C2D" w:rsidP="00BB4123">
      <w:pPr>
        <w:autoSpaceDE w:val="0"/>
        <w:autoSpaceDN w:val="0"/>
        <w:spacing w:before="12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Для целей проведения анализа, Управляющая компания должна использовать обоснованную и подтверждаемую информацию, доступную ей без чрезмерных затрат и усилий.</w:t>
      </w:r>
    </w:p>
    <w:p w:rsidR="00865C2D" w:rsidRPr="00BB4123" w:rsidRDefault="00865C2D" w:rsidP="00BB4123">
      <w:pPr>
        <w:autoSpaceDE w:val="0"/>
        <w:autoSpaceDN w:val="0"/>
        <w:spacing w:before="120" w:after="12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lastRenderedPageBreak/>
        <w:t>В процессе анализа Управляющая компания определяет:</w:t>
      </w:r>
    </w:p>
    <w:p w:rsidR="00BC5205" w:rsidRPr="00BB4123" w:rsidRDefault="00865C2D" w:rsidP="00865C2D">
      <w:pPr>
        <w:pStyle w:val="a3"/>
        <w:numPr>
          <w:ilvl w:val="0"/>
          <w:numId w:val="10"/>
        </w:num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возможность квалификации дебиторской задолженности в качестве операционной, признание которой осуществляется  впервые</w:t>
      </w:r>
      <w:r w:rsidR="00BC5205" w:rsidRPr="00BB41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65C2D" w:rsidRPr="00BB4123" w:rsidRDefault="00BC5205" w:rsidP="00865C2D">
      <w:pPr>
        <w:pStyle w:val="a3"/>
        <w:numPr>
          <w:ilvl w:val="0"/>
          <w:numId w:val="10"/>
        </w:num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необходимость изменения подхода к учету дебиторской задолженности, ранее признанной операционной</w:t>
      </w:r>
      <w:r w:rsidR="00865C2D" w:rsidRPr="00BB4123">
        <w:rPr>
          <w:rFonts w:ascii="Times New Roman" w:hAnsi="Times New Roman" w:cs="Times New Roman"/>
          <w:sz w:val="24"/>
          <w:szCs w:val="24"/>
        </w:rPr>
        <w:t>.</w:t>
      </w:r>
    </w:p>
    <w:p w:rsidR="00BC5205" w:rsidRPr="00BB4123" w:rsidRDefault="00BC5205" w:rsidP="00BC5205">
      <w:pPr>
        <w:pStyle w:val="a3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205" w:rsidRPr="00BB4123" w:rsidRDefault="00BC5205" w:rsidP="00593545">
      <w:pPr>
        <w:pStyle w:val="a3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23">
        <w:rPr>
          <w:rFonts w:ascii="Times New Roman" w:hAnsi="Times New Roman" w:cs="Times New Roman"/>
          <w:b/>
          <w:sz w:val="24"/>
          <w:szCs w:val="24"/>
        </w:rPr>
        <w:t>Виды, условия и сроки признания операционной дебиторской задолженности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103"/>
        <w:gridCol w:w="4755"/>
      </w:tblGrid>
      <w:tr w:rsidR="005C5C6B" w:rsidRPr="00BB4123" w:rsidTr="00153D10">
        <w:trPr>
          <w:trHeight w:val="1860"/>
        </w:trPr>
        <w:tc>
          <w:tcPr>
            <w:tcW w:w="4928" w:type="dxa"/>
            <w:noWrap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="00BC5205"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дебиторской задолженности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для признания</w:t>
            </w:r>
            <w:r w:rsidR="00CC4598"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дебиторской задолженности</w:t>
            </w:r>
            <w:r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операционной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операционного цикла, являющийся нормальной практикой исполнения обязательств контрагентом (допустимый срок</w:t>
            </w:r>
            <w:r w:rsidR="001A6622"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нарушения условий</w:t>
            </w:r>
            <w:r w:rsidRPr="00BB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исполнения обязательств контрагентом)</w:t>
            </w:r>
          </w:p>
        </w:tc>
      </w:tr>
      <w:tr w:rsidR="005C5C6B" w:rsidRPr="00BB4123" w:rsidTr="00153D10">
        <w:trPr>
          <w:trHeight w:val="665"/>
        </w:trPr>
        <w:tc>
          <w:tcPr>
            <w:tcW w:w="4928" w:type="dxa"/>
            <w:vAlign w:val="center"/>
            <w:hideMark/>
          </w:tcPr>
          <w:p w:rsidR="005C5C6B" w:rsidRPr="00BB4123" w:rsidRDefault="00CC4598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 по выплате НКД по облигациям российских эмитентов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 с даты признания дебиторской задолженности</w:t>
            </w:r>
          </w:p>
        </w:tc>
      </w:tr>
      <w:tr w:rsidR="005C5C6B" w:rsidRPr="00BB4123" w:rsidTr="00153D10">
        <w:trPr>
          <w:trHeight w:val="826"/>
        </w:trPr>
        <w:tc>
          <w:tcPr>
            <w:tcW w:w="4928" w:type="dxa"/>
            <w:vAlign w:val="center"/>
            <w:hideMark/>
          </w:tcPr>
          <w:p w:rsidR="005C5C6B" w:rsidRPr="00BB4123" w:rsidRDefault="00CC4598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адолженность по выплате номинала облигации (полного/частичного) по облигациям российских эмитентов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7 рабочих дней с даты признания дебиторской задолженности</w:t>
            </w:r>
          </w:p>
        </w:tc>
      </w:tr>
      <w:tr w:rsidR="005C5C6B" w:rsidRPr="00BB4123" w:rsidTr="00153D10">
        <w:trPr>
          <w:trHeight w:val="569"/>
        </w:trPr>
        <w:tc>
          <w:tcPr>
            <w:tcW w:w="4928" w:type="dxa"/>
            <w:vAlign w:val="center"/>
            <w:hideMark/>
          </w:tcPr>
          <w:p w:rsidR="005C5C6B" w:rsidRPr="00BB4123" w:rsidRDefault="00E02B41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 по выплате НКД по облигациям иностранных эмитентов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Default="005C5C6B" w:rsidP="007D4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с даты признания дебиторской задолженности</w:t>
            </w:r>
            <w:r w:rsidR="007D4A29">
              <w:rPr>
                <w:rFonts w:ascii="Times New Roman" w:eastAsia="Times New Roman" w:hAnsi="Times New Roman" w:cs="Times New Roman"/>
                <w:sz w:val="24"/>
                <w:szCs w:val="24"/>
              </w:rPr>
              <w:t>; либо</w:t>
            </w:r>
          </w:p>
          <w:p w:rsidR="007D4A29" w:rsidRPr="007D4A29" w:rsidRDefault="007D4A29" w:rsidP="007D4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с даты истечения срока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предусмотренного для выплаты купонного дохода, если такой срок предусмотрен условиями выпуска или личным законом эмитента облигаций</w:t>
            </w:r>
          </w:p>
        </w:tc>
      </w:tr>
      <w:tr w:rsidR="005C5C6B" w:rsidRPr="00BB4123" w:rsidTr="00153D10">
        <w:trPr>
          <w:trHeight w:val="833"/>
        </w:trPr>
        <w:tc>
          <w:tcPr>
            <w:tcW w:w="4928" w:type="dxa"/>
            <w:vAlign w:val="center"/>
            <w:hideMark/>
          </w:tcPr>
          <w:p w:rsidR="005C5C6B" w:rsidRPr="00BB4123" w:rsidRDefault="00E02B41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адолженность по выплате номинала облигации (полного/частичного) по облигациям иностранных эмитентов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7D4A29" w:rsidRDefault="005C5C6B" w:rsidP="007D4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с даты признания дебиторской задолженности</w:t>
            </w:r>
            <w:r w:rsidR="007D4A29">
              <w:rPr>
                <w:rFonts w:ascii="Times New Roman" w:eastAsia="Times New Roman" w:hAnsi="Times New Roman" w:cs="Times New Roman"/>
                <w:sz w:val="24"/>
                <w:szCs w:val="24"/>
              </w:rPr>
              <w:t>; либо</w:t>
            </w:r>
          </w:p>
          <w:p w:rsidR="007D4A29" w:rsidRPr="00BB4123" w:rsidRDefault="007D4A29" w:rsidP="007D4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рабочих дней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даты истечения срока, предусмотренного для выплаты номинальной стоимости (её части), если такой срок предусмотрен условиями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выпуска или личным законом эмитента облигаций</w:t>
            </w:r>
          </w:p>
        </w:tc>
      </w:tr>
      <w:tr w:rsidR="005C5C6B" w:rsidRPr="00BB4123" w:rsidTr="00153D10">
        <w:trPr>
          <w:trHeight w:val="561"/>
        </w:trPr>
        <w:tc>
          <w:tcPr>
            <w:tcW w:w="4928" w:type="dxa"/>
            <w:vAlign w:val="center"/>
            <w:hideMark/>
          </w:tcPr>
          <w:p w:rsidR="005C5C6B" w:rsidRPr="00952BAC" w:rsidRDefault="00E02B41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Дебиторская задолженность по выплате </w:t>
            </w:r>
            <w:r w:rsidR="005C5C6B"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</w:t>
            </w:r>
            <w:r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5C5C6B"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акциям, депозитарным распискам российских эмитентов</w:t>
            </w:r>
            <w:r w:rsidR="00A079AB"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>, доходам по паям паевых инвестиционных фондов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25 рабочих дней с даты признания дебиторской задолженности</w:t>
            </w:r>
          </w:p>
        </w:tc>
      </w:tr>
      <w:tr w:rsidR="005C5C6B" w:rsidRPr="00BB4123" w:rsidTr="00153D10">
        <w:trPr>
          <w:trHeight w:val="265"/>
        </w:trPr>
        <w:tc>
          <w:tcPr>
            <w:tcW w:w="4928" w:type="dxa"/>
            <w:vAlign w:val="center"/>
            <w:hideMark/>
          </w:tcPr>
          <w:p w:rsidR="005C5C6B" w:rsidRPr="00952BAC" w:rsidRDefault="00E02B41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задолженность по выплате </w:t>
            </w:r>
            <w:r w:rsidR="005C5C6B"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>дивиденд</w:t>
            </w:r>
            <w:r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5C5C6B" w:rsidRPr="0095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акциям, депозитарным распискам иностранных эмитентов, ETF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5A0DBE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BE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стандартно - 25 рабочих дней с даты признания дебиторской задолженности*</w:t>
            </w:r>
          </w:p>
          <w:p w:rsidR="005C5C6B" w:rsidRPr="005A0DBE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D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*опционально: срок может быть увеличен для дебиторской задолженности по иностранным долевым активам, в случае, если есть подтверждения необходимости увеличения такого срока статистикой УК.</w:t>
            </w:r>
          </w:p>
        </w:tc>
      </w:tr>
      <w:tr w:rsidR="005C5C6B" w:rsidRPr="00BB4123" w:rsidTr="00153D10">
        <w:trPr>
          <w:trHeight w:val="987"/>
        </w:trPr>
        <w:tc>
          <w:tcPr>
            <w:tcW w:w="4928" w:type="dxa"/>
            <w:vAlign w:val="center"/>
            <w:hideMark/>
          </w:tcPr>
          <w:p w:rsidR="005C5C6B" w:rsidRPr="00BB4123" w:rsidRDefault="00963A5E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Дебиторская задолженность по выплате 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</w:t>
            </w: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участия в уставном капитале (доли ООО или права участия в иностранных компаниях)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выплаты дохода, согласно решению Общества не превышает 25 рабочих дней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6B" w:rsidRPr="00BB4123" w:rsidRDefault="00771681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обесценение производится с первого дня просрочки обязательств обществом</w:t>
            </w:r>
          </w:p>
        </w:tc>
      </w:tr>
      <w:tr w:rsidR="005C5C6B" w:rsidRPr="00BB4123" w:rsidTr="00153D10">
        <w:trPr>
          <w:trHeight w:val="278"/>
        </w:trPr>
        <w:tc>
          <w:tcPr>
            <w:tcW w:w="4928" w:type="dxa"/>
            <w:vAlign w:val="center"/>
            <w:hideMark/>
          </w:tcPr>
          <w:p w:rsidR="005C5C6B" w:rsidRPr="00BB4123" w:rsidRDefault="001400CE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задолженность по возврату  средств со счета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брокера /</w:t>
            </w: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со счета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НКЦ</w:t>
            </w:r>
          </w:p>
        </w:tc>
        <w:tc>
          <w:tcPr>
            <w:tcW w:w="5103" w:type="dxa"/>
            <w:vAlign w:val="center"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293601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5C5C6B" w:rsidRPr="00BB4123" w:rsidTr="00153D10">
        <w:trPr>
          <w:trHeight w:val="283"/>
        </w:trPr>
        <w:tc>
          <w:tcPr>
            <w:tcW w:w="4928" w:type="dxa"/>
            <w:vAlign w:val="center"/>
            <w:hideMark/>
          </w:tcPr>
          <w:p w:rsidR="005C5C6B" w:rsidRPr="00BB4123" w:rsidRDefault="001243B6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задолженность, возникшая в результате перевода денежных средств (д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еньги в пути</w:t>
            </w: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vAlign w:val="center"/>
            <w:hideMark/>
          </w:tcPr>
          <w:p w:rsidR="005C5C6B" w:rsidRPr="00BB4123" w:rsidRDefault="00BF28AF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DBE">
              <w:rPr>
                <w:rFonts w:ascii="Times New Roman" w:eastAsia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5C5C6B" w:rsidRPr="00BB4123" w:rsidTr="00153D10">
        <w:trPr>
          <w:trHeight w:val="1697"/>
        </w:trPr>
        <w:tc>
          <w:tcPr>
            <w:tcW w:w="4928" w:type="dxa"/>
            <w:vAlign w:val="center"/>
            <w:hideMark/>
          </w:tcPr>
          <w:p w:rsidR="005C5C6B" w:rsidRPr="00BB4123" w:rsidRDefault="00967E21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задолженность</w:t>
            </w:r>
            <w:r w:rsidR="005C5C6B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аренде</w:t>
            </w:r>
          </w:p>
        </w:tc>
        <w:tc>
          <w:tcPr>
            <w:tcW w:w="5103" w:type="dxa"/>
            <w:noWrap/>
            <w:vAlign w:val="center"/>
            <w:hideMark/>
          </w:tcPr>
          <w:p w:rsidR="00BB4123" w:rsidRDefault="00BB4123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погашения задолженности не превышает 10 рабочих дней с даты окончания арендного периода*</w:t>
            </w:r>
          </w:p>
          <w:p w:rsidR="005C5C6B" w:rsidRPr="00BB4123" w:rsidRDefault="005C5C6B" w:rsidP="00BB4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*</w:t>
            </w:r>
            <w:r w:rsidRPr="00BB4123">
              <w:rPr>
                <w:rFonts w:ascii="Times New Roman" w:eastAsia="Times New Roman" w:hAnsi="Times New Roman" w:cs="Times New Roman"/>
                <w:i/>
                <w:szCs w:val="24"/>
              </w:rPr>
              <w:t>опционально: срок может быть увеличен до 25 рабочих дней в случае, если есть подтверждения необходимости увеличе</w:t>
            </w:r>
            <w:r w:rsidR="0032387E" w:rsidRPr="00BB4123">
              <w:rPr>
                <w:rFonts w:ascii="Times New Roman" w:eastAsia="Times New Roman" w:hAnsi="Times New Roman" w:cs="Times New Roman"/>
                <w:i/>
                <w:szCs w:val="24"/>
              </w:rPr>
              <w:t>ния такого срока статистикой УК</w:t>
            </w:r>
          </w:p>
        </w:tc>
        <w:tc>
          <w:tcPr>
            <w:tcW w:w="4755" w:type="dxa"/>
            <w:noWrap/>
            <w:vAlign w:val="center"/>
            <w:hideMark/>
          </w:tcPr>
          <w:p w:rsidR="005C5C6B" w:rsidRPr="00BB4123" w:rsidRDefault="005C5C6B" w:rsidP="00304A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 с даты наступления срока исполнения обязател</w:t>
            </w:r>
            <w:r w:rsidR="0032387E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ьств, согласно </w:t>
            </w:r>
            <w:r w:rsidR="00304A07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</w:t>
            </w:r>
            <w:r w:rsidR="00304A07">
              <w:rPr>
                <w:rFonts w:ascii="Times New Roman" w:eastAsia="Times New Roman" w:hAnsi="Times New Roman" w:cs="Times New Roman"/>
                <w:sz w:val="24"/>
                <w:szCs w:val="24"/>
              </w:rPr>
              <w:t>ям</w:t>
            </w:r>
            <w:r w:rsidR="00304A07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387E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5C5C6B" w:rsidRPr="00BB4123" w:rsidTr="00153D10">
        <w:trPr>
          <w:trHeight w:val="1174"/>
        </w:trPr>
        <w:tc>
          <w:tcPr>
            <w:tcW w:w="4928" w:type="dxa"/>
            <w:vAlign w:val="center"/>
            <w:hideMark/>
          </w:tcPr>
          <w:p w:rsidR="005C5C6B" w:rsidRPr="00BB4123" w:rsidRDefault="00967E21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Дебиторская задолженность по начисленным </w:t>
            </w:r>
            <w:r w:rsidR="005C5C6B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процентам </w:t>
            </w:r>
            <w:r w:rsidR="007230E4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остаток </w:t>
            </w: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денежных средств </w:t>
            </w:r>
            <w:r w:rsidR="007230E4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30094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5C6B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расчетном счет</w:t>
            </w:r>
            <w:r w:rsidR="007230E4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103" w:type="dxa"/>
            <w:noWrap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noWrap/>
            <w:vAlign w:val="center"/>
            <w:hideMark/>
          </w:tcPr>
          <w:p w:rsidR="00771681" w:rsidRPr="00BB4123" w:rsidRDefault="00771681" w:rsidP="00BB4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обесценение производится с первого дня просрочки обязательств </w:t>
            </w:r>
            <w:r w:rsidR="009E5728"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банком</w:t>
            </w:r>
          </w:p>
        </w:tc>
      </w:tr>
      <w:tr w:rsidR="005C5C6B" w:rsidRPr="00BB4123" w:rsidTr="00153D10">
        <w:trPr>
          <w:trHeight w:val="600"/>
        </w:trPr>
        <w:tc>
          <w:tcPr>
            <w:tcW w:w="4928" w:type="dxa"/>
            <w:vAlign w:val="center"/>
            <w:hideMark/>
          </w:tcPr>
          <w:p w:rsidR="005C5C6B" w:rsidRPr="00BB4123" w:rsidRDefault="00830094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sz w:val="24"/>
                <w:szCs w:val="24"/>
              </w:rPr>
              <w:t>Дебиторская задолженность</w:t>
            </w:r>
            <w:r w:rsidR="005C5C6B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сделкам (</w:t>
            </w: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которым наступила </w:t>
            </w:r>
            <w:r w:rsidR="005C5C6B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ранняя дата расчетов)</w:t>
            </w:r>
          </w:p>
        </w:tc>
        <w:tc>
          <w:tcPr>
            <w:tcW w:w="5103" w:type="dxa"/>
            <w:noWrap/>
            <w:vAlign w:val="center"/>
            <w:hideMark/>
          </w:tcPr>
          <w:p w:rsidR="005C5C6B" w:rsidRPr="00BB4123" w:rsidRDefault="005C5C6B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признаков обесценения;</w:t>
            </w:r>
          </w:p>
          <w:p w:rsidR="005C5C6B" w:rsidRPr="00BB4123" w:rsidRDefault="005C5C6B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погашения дебиторской задолженности не более 15 рабочих дней с даты ее возникновения (с учетом срока пролонгации и перезаключений договоров).</w:t>
            </w:r>
          </w:p>
        </w:tc>
        <w:tc>
          <w:tcPr>
            <w:tcW w:w="4755" w:type="dxa"/>
            <w:noWrap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</w:tr>
      <w:tr w:rsidR="005C5C6B" w:rsidRPr="00BB4123" w:rsidTr="008C1468">
        <w:trPr>
          <w:trHeight w:val="1035"/>
        </w:trPr>
        <w:tc>
          <w:tcPr>
            <w:tcW w:w="4928" w:type="dxa"/>
            <w:vAlign w:val="center"/>
            <w:hideMark/>
          </w:tcPr>
          <w:p w:rsidR="005C5C6B" w:rsidRDefault="005C5C6B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Авансы</w:t>
            </w:r>
            <w:r w:rsidR="00CC4598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,</w:t>
            </w:r>
            <w:r w:rsidR="00D27377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выданные </w:t>
            </w:r>
            <w:r w:rsidR="005003DB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по сделкам </w:t>
            </w:r>
            <w:r w:rsidR="00D27377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счет имущества Фонда</w:t>
            </w:r>
          </w:p>
          <w:p w:rsidR="008C1468" w:rsidRDefault="008C1468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C1468" w:rsidRPr="00BB4123" w:rsidRDefault="008C1468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:rsidR="005C5C6B" w:rsidRPr="00BB4123" w:rsidRDefault="005C5C6B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признаков обесценения;</w:t>
            </w:r>
          </w:p>
          <w:p w:rsidR="005C5C6B" w:rsidRPr="00BB4123" w:rsidRDefault="005C5C6B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погашения дебиторской задолженности не более 15 рабочих дней с даты ее возникновения (с учетом срока пролонгации и</w:t>
            </w:r>
            <w:r w:rsidR="008C1468"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перезаключений договоров).</w:t>
            </w: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noWrap/>
            <w:vAlign w:val="center"/>
            <w:hideMark/>
          </w:tcPr>
          <w:p w:rsidR="005C5C6B" w:rsidRPr="00BB4123" w:rsidRDefault="005C5C6B" w:rsidP="00BB41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</w:p>
        </w:tc>
      </w:tr>
      <w:tr w:rsidR="008C1468" w:rsidRPr="00BB4123" w:rsidTr="00153D10">
        <w:trPr>
          <w:trHeight w:val="1143"/>
        </w:trPr>
        <w:tc>
          <w:tcPr>
            <w:tcW w:w="4928" w:type="dxa"/>
            <w:vAlign w:val="center"/>
          </w:tcPr>
          <w:p w:rsidR="00D32807" w:rsidRPr="00C30488" w:rsidRDefault="00D32807" w:rsidP="008C14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C1468" w:rsidRPr="00C30488" w:rsidRDefault="008C1468" w:rsidP="008C14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Дебиторская задолженность по причитающейся премии по ВПФИ</w:t>
            </w:r>
          </w:p>
          <w:p w:rsidR="008C1468" w:rsidRPr="00C30488" w:rsidRDefault="008C1468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8C1468" w:rsidRPr="00C30488" w:rsidRDefault="008C1468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noWrap/>
            <w:vAlign w:val="center"/>
          </w:tcPr>
          <w:p w:rsidR="008C1468" w:rsidRPr="00C30488" w:rsidRDefault="008C1468" w:rsidP="00BB4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48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noWrap/>
            <w:vAlign w:val="center"/>
          </w:tcPr>
          <w:p w:rsidR="008C1468" w:rsidRPr="00C30488" w:rsidRDefault="00B30859" w:rsidP="008C1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04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C1468" w:rsidRPr="00C30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календарных дней с даты признания дебиторской задолженности</w:t>
            </w:r>
          </w:p>
        </w:tc>
      </w:tr>
      <w:tr w:rsidR="005847E1" w:rsidRPr="00BB4123" w:rsidTr="005847E1">
        <w:trPr>
          <w:trHeight w:val="1143"/>
        </w:trPr>
        <w:tc>
          <w:tcPr>
            <w:tcW w:w="4928" w:type="dxa"/>
          </w:tcPr>
          <w:p w:rsidR="005847E1" w:rsidRPr="00C30488" w:rsidRDefault="005847E1" w:rsidP="00FB77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Дебиторская задолженность по вариационной марже по биржевым производным финансовым инструментам</w:t>
            </w:r>
          </w:p>
        </w:tc>
        <w:tc>
          <w:tcPr>
            <w:tcW w:w="5103" w:type="dxa"/>
            <w:noWrap/>
          </w:tcPr>
          <w:p w:rsidR="005847E1" w:rsidRPr="00C30488" w:rsidRDefault="005847E1" w:rsidP="00FB7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488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признаков обесценения</w:t>
            </w:r>
          </w:p>
        </w:tc>
        <w:tc>
          <w:tcPr>
            <w:tcW w:w="4755" w:type="dxa"/>
            <w:noWrap/>
          </w:tcPr>
          <w:p w:rsidR="005847E1" w:rsidRPr="00C30488" w:rsidRDefault="005847E1" w:rsidP="00FB77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8C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Срок, установленный правилами клиринга для завершения расчетов по вариационной марже</w:t>
            </w:r>
          </w:p>
        </w:tc>
      </w:tr>
    </w:tbl>
    <w:p w:rsidR="00FD21EB" w:rsidRPr="00BB4123" w:rsidRDefault="00D05E92" w:rsidP="00153D10">
      <w:pPr>
        <w:pStyle w:val="a3"/>
        <w:numPr>
          <w:ilvl w:val="0"/>
          <w:numId w:val="13"/>
        </w:numPr>
        <w:spacing w:before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 xml:space="preserve">Особые условия, применяемые для обесценения </w:t>
      </w:r>
      <w:r w:rsidR="00FD21EB" w:rsidRPr="00BB4123">
        <w:rPr>
          <w:rFonts w:ascii="Times New Roman" w:hAnsi="Times New Roman" w:cs="Times New Roman"/>
          <w:sz w:val="24"/>
          <w:szCs w:val="24"/>
        </w:rPr>
        <w:t xml:space="preserve">дебиторской задолженности, не указанной в таблице </w:t>
      </w:r>
      <w:r w:rsidRPr="00BB4123">
        <w:rPr>
          <w:rFonts w:ascii="Times New Roman" w:hAnsi="Times New Roman" w:cs="Times New Roman"/>
          <w:sz w:val="24"/>
          <w:szCs w:val="24"/>
        </w:rPr>
        <w:t>«</w:t>
      </w:r>
      <w:r w:rsidR="00EA03EF" w:rsidRPr="00BB4123">
        <w:rPr>
          <w:rFonts w:ascii="Times New Roman" w:hAnsi="Times New Roman" w:cs="Times New Roman"/>
          <w:sz w:val="24"/>
          <w:szCs w:val="24"/>
        </w:rPr>
        <w:t>Виды, условия и сроки признания операци</w:t>
      </w:r>
      <w:r w:rsidR="00153D10">
        <w:rPr>
          <w:rFonts w:ascii="Times New Roman" w:hAnsi="Times New Roman" w:cs="Times New Roman"/>
          <w:sz w:val="24"/>
          <w:szCs w:val="24"/>
        </w:rPr>
        <w:t>онной дебиторской задолженности</w:t>
      </w:r>
      <w:r w:rsidR="00304A07">
        <w:rPr>
          <w:rFonts w:ascii="Times New Roman" w:hAnsi="Times New Roman" w:cs="Times New Roman"/>
          <w:sz w:val="24"/>
          <w:szCs w:val="24"/>
        </w:rPr>
        <w:t>»</w:t>
      </w:r>
      <w:r w:rsidR="00153D10">
        <w:rPr>
          <w:rFonts w:ascii="Times New Roman" w:hAnsi="Times New Roman" w:cs="Times New Roman"/>
          <w:sz w:val="24"/>
          <w:szCs w:val="24"/>
        </w:rPr>
        <w:t>:</w:t>
      </w:r>
    </w:p>
    <w:p w:rsidR="009B5F05" w:rsidRPr="00BB4123" w:rsidRDefault="00153D10" w:rsidP="00153D1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B5F05" w:rsidRPr="00BB4123">
        <w:rPr>
          <w:rFonts w:ascii="Times New Roman" w:hAnsi="Times New Roman" w:cs="Times New Roman"/>
          <w:sz w:val="24"/>
          <w:szCs w:val="24"/>
        </w:rPr>
        <w:t xml:space="preserve">ебиторская задолженность по авансам, выданным на оплату услуг </w:t>
      </w:r>
      <w:r w:rsidR="00E54910" w:rsidRPr="00BB4123">
        <w:rPr>
          <w:rFonts w:ascii="Times New Roman" w:hAnsi="Times New Roman" w:cs="Times New Roman"/>
          <w:sz w:val="24"/>
          <w:szCs w:val="24"/>
        </w:rPr>
        <w:t xml:space="preserve">специализированного депозитария, аудиторской организации, оценщику, бирже и лицу, осуществляющему ведение реестра владельцев инвестиционных паев </w:t>
      </w:r>
      <w:r w:rsidR="009B5F05" w:rsidRPr="00BB4123">
        <w:rPr>
          <w:rFonts w:ascii="Times New Roman" w:hAnsi="Times New Roman" w:cs="Times New Roman"/>
          <w:sz w:val="24"/>
          <w:szCs w:val="24"/>
        </w:rPr>
        <w:t>ПИФ</w:t>
      </w:r>
      <w:r w:rsidR="000A4EAF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="00EA03EF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="000A4EAF" w:rsidRPr="00BB4123">
        <w:rPr>
          <w:rFonts w:ascii="Times New Roman" w:hAnsi="Times New Roman" w:cs="Times New Roman"/>
          <w:sz w:val="24"/>
          <w:szCs w:val="24"/>
        </w:rPr>
        <w:t>и на оплату расходов, связанных с довер</w:t>
      </w:r>
      <w:r w:rsidR="00D05E92" w:rsidRPr="00BB4123">
        <w:rPr>
          <w:rFonts w:ascii="Times New Roman" w:hAnsi="Times New Roman" w:cs="Times New Roman"/>
          <w:sz w:val="24"/>
          <w:szCs w:val="24"/>
        </w:rPr>
        <w:t>ительным управлением</w:t>
      </w:r>
      <w:r w:rsidR="00EA03EF" w:rsidRPr="00BB4123">
        <w:rPr>
          <w:rFonts w:ascii="Times New Roman" w:hAnsi="Times New Roman" w:cs="Times New Roman"/>
          <w:sz w:val="24"/>
          <w:szCs w:val="24"/>
        </w:rPr>
        <w:t>,</w:t>
      </w:r>
      <w:r w:rsidR="00D05E92" w:rsidRPr="00BB4123">
        <w:rPr>
          <w:rFonts w:ascii="Times New Roman" w:hAnsi="Times New Roman" w:cs="Times New Roman"/>
          <w:sz w:val="24"/>
          <w:szCs w:val="24"/>
        </w:rPr>
        <w:t xml:space="preserve"> обесценивае</w:t>
      </w:r>
      <w:r w:rsidR="000A4EAF" w:rsidRPr="00BB4123">
        <w:rPr>
          <w:rFonts w:ascii="Times New Roman" w:hAnsi="Times New Roman" w:cs="Times New Roman"/>
          <w:sz w:val="24"/>
          <w:szCs w:val="24"/>
        </w:rPr>
        <w:t xml:space="preserve">тся по истечении 25 рабочих дней с </w:t>
      </w:r>
      <w:r w:rsidR="00FD21EB" w:rsidRPr="00BB4123">
        <w:rPr>
          <w:rFonts w:ascii="Times New Roman" w:hAnsi="Times New Roman" w:cs="Times New Roman"/>
          <w:sz w:val="24"/>
          <w:szCs w:val="24"/>
        </w:rPr>
        <w:t>даты</w:t>
      </w:r>
      <w:r w:rsidR="000A4EAF" w:rsidRPr="00BB4123">
        <w:rPr>
          <w:rFonts w:ascii="Times New Roman" w:hAnsi="Times New Roman" w:cs="Times New Roman"/>
          <w:sz w:val="24"/>
          <w:szCs w:val="24"/>
        </w:rPr>
        <w:t xml:space="preserve"> окончания срока оказания услуг, </w:t>
      </w:r>
      <w:r w:rsidR="00D05E92" w:rsidRPr="00BB4123">
        <w:rPr>
          <w:rFonts w:ascii="Times New Roman" w:hAnsi="Times New Roman" w:cs="Times New Roman"/>
          <w:sz w:val="24"/>
          <w:szCs w:val="24"/>
        </w:rPr>
        <w:t>установленной</w:t>
      </w:r>
      <w:r w:rsidR="000A4EAF" w:rsidRPr="00BB4123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D05E92" w:rsidRPr="00BB4123">
        <w:rPr>
          <w:rFonts w:ascii="Times New Roman" w:hAnsi="Times New Roman" w:cs="Times New Roman"/>
          <w:sz w:val="24"/>
          <w:szCs w:val="24"/>
        </w:rPr>
        <w:t>ями договора;</w:t>
      </w:r>
    </w:p>
    <w:p w:rsidR="00490713" w:rsidRDefault="00153D10" w:rsidP="00153D1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90713" w:rsidRPr="00BB4123">
        <w:rPr>
          <w:rFonts w:ascii="Times New Roman" w:hAnsi="Times New Roman" w:cs="Times New Roman"/>
          <w:sz w:val="24"/>
          <w:szCs w:val="24"/>
        </w:rPr>
        <w:t xml:space="preserve">ебиторская задолженность Управляющей компании </w:t>
      </w:r>
      <w:r w:rsidR="00E54910" w:rsidRPr="00BB4123">
        <w:rPr>
          <w:rFonts w:ascii="Times New Roman" w:hAnsi="Times New Roman" w:cs="Times New Roman"/>
          <w:sz w:val="24"/>
          <w:szCs w:val="24"/>
        </w:rPr>
        <w:t>ПИФ</w:t>
      </w:r>
      <w:r w:rsidR="00490713" w:rsidRPr="00BB4123">
        <w:rPr>
          <w:rFonts w:ascii="Times New Roman" w:hAnsi="Times New Roman" w:cs="Times New Roman"/>
          <w:sz w:val="24"/>
          <w:szCs w:val="24"/>
        </w:rPr>
        <w:t>, возникш</w:t>
      </w:r>
      <w:r w:rsidR="00E54910" w:rsidRPr="00BB4123">
        <w:rPr>
          <w:rFonts w:ascii="Times New Roman" w:hAnsi="Times New Roman" w:cs="Times New Roman"/>
          <w:sz w:val="24"/>
          <w:szCs w:val="24"/>
        </w:rPr>
        <w:t>ая</w:t>
      </w:r>
      <w:r w:rsidR="00490713" w:rsidRPr="00BB4123">
        <w:rPr>
          <w:rFonts w:ascii="Times New Roman" w:hAnsi="Times New Roman" w:cs="Times New Roman"/>
          <w:sz w:val="24"/>
          <w:szCs w:val="24"/>
        </w:rPr>
        <w:t xml:space="preserve"> в результате нарушения прав владельцев инвестиционных паев</w:t>
      </w:r>
      <w:r w:rsidR="00FD21EB" w:rsidRPr="00BB4123">
        <w:rPr>
          <w:rFonts w:ascii="Times New Roman" w:hAnsi="Times New Roman" w:cs="Times New Roman"/>
          <w:sz w:val="24"/>
          <w:szCs w:val="24"/>
        </w:rPr>
        <w:t>,</w:t>
      </w:r>
      <w:r w:rsidR="00490713" w:rsidRPr="00BB4123">
        <w:rPr>
          <w:rFonts w:ascii="Times New Roman" w:hAnsi="Times New Roman" w:cs="Times New Roman"/>
          <w:sz w:val="24"/>
          <w:szCs w:val="24"/>
        </w:rPr>
        <w:t xml:space="preserve"> обесценива</w:t>
      </w:r>
      <w:r w:rsidR="00E54910" w:rsidRPr="00BB4123">
        <w:rPr>
          <w:rFonts w:ascii="Times New Roman" w:hAnsi="Times New Roman" w:cs="Times New Roman"/>
          <w:sz w:val="24"/>
          <w:szCs w:val="24"/>
        </w:rPr>
        <w:t>е</w:t>
      </w:r>
      <w:r w:rsidR="00490713" w:rsidRPr="00BB4123">
        <w:rPr>
          <w:rFonts w:ascii="Times New Roman" w:hAnsi="Times New Roman" w:cs="Times New Roman"/>
          <w:sz w:val="24"/>
          <w:szCs w:val="24"/>
        </w:rPr>
        <w:t xml:space="preserve">тся по истечении 25 рабочих дней с </w:t>
      </w:r>
      <w:r w:rsidR="00FD21EB" w:rsidRPr="00BB4123">
        <w:rPr>
          <w:rFonts w:ascii="Times New Roman" w:hAnsi="Times New Roman" w:cs="Times New Roman"/>
          <w:sz w:val="24"/>
          <w:szCs w:val="24"/>
        </w:rPr>
        <w:t>даты</w:t>
      </w:r>
      <w:r w:rsidR="00490713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="00FD21EB" w:rsidRPr="00BB4123">
        <w:rPr>
          <w:rFonts w:ascii="Times New Roman" w:hAnsi="Times New Roman" w:cs="Times New Roman"/>
          <w:sz w:val="24"/>
          <w:szCs w:val="24"/>
        </w:rPr>
        <w:t>ее возникновения</w:t>
      </w:r>
      <w:r w:rsidR="00D05E92" w:rsidRPr="00BB4123">
        <w:rPr>
          <w:rFonts w:ascii="Times New Roman" w:hAnsi="Times New Roman" w:cs="Times New Roman"/>
          <w:sz w:val="24"/>
          <w:szCs w:val="24"/>
        </w:rPr>
        <w:t>.</w:t>
      </w:r>
    </w:p>
    <w:p w:rsidR="00BB4123" w:rsidRPr="00BB4123" w:rsidRDefault="00BB4123" w:rsidP="00153D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C66" w:rsidRPr="00BB4123" w:rsidRDefault="00FD21EB" w:rsidP="00153D10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Обесценение</w:t>
      </w:r>
      <w:r w:rsidR="00EC71F8" w:rsidRPr="00BB4123">
        <w:rPr>
          <w:rFonts w:ascii="Times New Roman" w:hAnsi="Times New Roman" w:cs="Times New Roman"/>
          <w:sz w:val="24"/>
          <w:szCs w:val="24"/>
        </w:rPr>
        <w:t xml:space="preserve"> дебиторской задолженности, указанной в п.1</w:t>
      </w:r>
      <w:r w:rsidR="00FF2701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B4123">
        <w:rPr>
          <w:rFonts w:ascii="Times New Roman" w:hAnsi="Times New Roman" w:cs="Times New Roman"/>
          <w:sz w:val="24"/>
          <w:szCs w:val="24"/>
        </w:rPr>
        <w:t xml:space="preserve"> не производится </w:t>
      </w:r>
      <w:r w:rsidR="00590C66" w:rsidRPr="00BB4123">
        <w:rPr>
          <w:rFonts w:ascii="Times New Roman" w:hAnsi="Times New Roman" w:cs="Times New Roman"/>
          <w:sz w:val="24"/>
          <w:szCs w:val="24"/>
        </w:rPr>
        <w:t>при соблюдении следующих условий:</w:t>
      </w:r>
      <w:r w:rsidRPr="00BB4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1EB" w:rsidRPr="00BB4123" w:rsidRDefault="00590C66" w:rsidP="00153D1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="00FD21EB" w:rsidRPr="00BB4123">
        <w:rPr>
          <w:rFonts w:ascii="Times New Roman" w:eastAsia="Times New Roman" w:hAnsi="Times New Roman" w:cs="Times New Roman"/>
          <w:sz w:val="24"/>
          <w:szCs w:val="24"/>
        </w:rPr>
        <w:t xml:space="preserve"> обоснованного </w:t>
      </w:r>
      <w:r w:rsidR="00393597" w:rsidRPr="00BB4123">
        <w:rPr>
          <w:rFonts w:ascii="Times New Roman" w:eastAsia="Times New Roman" w:hAnsi="Times New Roman" w:cs="Times New Roman"/>
          <w:sz w:val="24"/>
          <w:szCs w:val="24"/>
        </w:rPr>
        <w:t xml:space="preserve">экспертного (мотивированного) </w:t>
      </w:r>
      <w:r w:rsidR="00FD21EB" w:rsidRPr="00BB4123">
        <w:rPr>
          <w:rFonts w:ascii="Times New Roman" w:eastAsia="Times New Roman" w:hAnsi="Times New Roman" w:cs="Times New Roman"/>
          <w:sz w:val="24"/>
          <w:szCs w:val="24"/>
        </w:rPr>
        <w:t>суждения Управляющей компании</w:t>
      </w:r>
      <w:r w:rsidR="00EC71F8" w:rsidRPr="00BB4123">
        <w:rPr>
          <w:rFonts w:ascii="Times New Roman" w:eastAsia="Times New Roman" w:hAnsi="Times New Roman" w:cs="Times New Roman"/>
          <w:sz w:val="24"/>
          <w:szCs w:val="24"/>
        </w:rPr>
        <w:t xml:space="preserve"> о том, что задержка сроков оказания услуг или погашения дебиторской задолженности </w:t>
      </w:r>
      <w:r w:rsidR="0012521C" w:rsidRPr="00BB4123">
        <w:rPr>
          <w:rFonts w:ascii="Times New Roman" w:eastAsia="Times New Roman" w:hAnsi="Times New Roman" w:cs="Times New Roman"/>
          <w:sz w:val="24"/>
          <w:szCs w:val="24"/>
        </w:rPr>
        <w:t xml:space="preserve">не является следствием </w:t>
      </w:r>
      <w:r w:rsidRPr="00BB4123">
        <w:rPr>
          <w:rFonts w:ascii="Times New Roman" w:eastAsia="Times New Roman" w:hAnsi="Times New Roman" w:cs="Times New Roman"/>
          <w:sz w:val="24"/>
          <w:szCs w:val="24"/>
        </w:rPr>
        <w:t>негативных процессов, возникших в деятельности должника;</w:t>
      </w:r>
    </w:p>
    <w:p w:rsidR="00590C66" w:rsidRPr="00BB4123" w:rsidRDefault="00FA2F8B" w:rsidP="00153D1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eastAsia="Times New Roman" w:hAnsi="Times New Roman" w:cs="Times New Roman"/>
          <w:sz w:val="24"/>
          <w:szCs w:val="24"/>
        </w:rPr>
        <w:t xml:space="preserve">наличие </w:t>
      </w:r>
      <w:r w:rsidR="00D60EFC" w:rsidRPr="00BB4123">
        <w:rPr>
          <w:rFonts w:ascii="Times New Roman" w:eastAsia="Times New Roman" w:hAnsi="Times New Roman" w:cs="Times New Roman"/>
          <w:sz w:val="24"/>
          <w:szCs w:val="24"/>
        </w:rPr>
        <w:t>документального подтверждения</w:t>
      </w:r>
      <w:r w:rsidRPr="00BB4123">
        <w:rPr>
          <w:rFonts w:ascii="Times New Roman" w:eastAsia="Times New Roman" w:hAnsi="Times New Roman" w:cs="Times New Roman"/>
          <w:sz w:val="24"/>
          <w:szCs w:val="24"/>
        </w:rPr>
        <w:t xml:space="preserve"> от контрагента срок</w:t>
      </w:r>
      <w:r w:rsidR="00D60EFC" w:rsidRPr="00BB412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B4123">
        <w:rPr>
          <w:rFonts w:ascii="Times New Roman" w:eastAsia="Times New Roman" w:hAnsi="Times New Roman" w:cs="Times New Roman"/>
          <w:sz w:val="24"/>
          <w:szCs w:val="24"/>
        </w:rPr>
        <w:t xml:space="preserve"> погашения задолженности / оказания услуг </w:t>
      </w:r>
      <w:r w:rsidR="00D60EFC" w:rsidRPr="00BB4123">
        <w:rPr>
          <w:rFonts w:ascii="Times New Roman" w:eastAsia="Times New Roman" w:hAnsi="Times New Roman" w:cs="Times New Roman"/>
          <w:sz w:val="24"/>
          <w:szCs w:val="24"/>
        </w:rPr>
        <w:t>ПИФ</w:t>
      </w:r>
      <w:r w:rsidRPr="00BB41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F8B" w:rsidRPr="00BB4123" w:rsidRDefault="00DA4F33" w:rsidP="00153D10">
      <w:pPr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Дебиторская задолженность по возмещению налогов из бюджета не обесценивается не зависимо от срочности ее погашения.</w:t>
      </w:r>
      <w:r w:rsidR="00EC7A8C" w:rsidRPr="00BB4123">
        <w:rPr>
          <w:rFonts w:ascii="Times New Roman" w:hAnsi="Times New Roman" w:cs="Times New Roman"/>
          <w:sz w:val="24"/>
          <w:szCs w:val="24"/>
        </w:rPr>
        <w:t xml:space="preserve"> </w:t>
      </w:r>
      <w:r w:rsidR="00EC7A8C" w:rsidRPr="005A0DBE">
        <w:rPr>
          <w:rFonts w:ascii="Times New Roman" w:hAnsi="Times New Roman" w:cs="Times New Roman"/>
          <w:sz w:val="24"/>
          <w:szCs w:val="24"/>
        </w:rPr>
        <w:t>В случае получения от налогового органа решения об отказе в осуществлении зачета (возврата) сумм излишне уплаченного налога, происходит прекращение признания</w:t>
      </w:r>
      <w:r w:rsidR="00F3765C" w:rsidRPr="005A0DBE">
        <w:rPr>
          <w:rFonts w:ascii="Times New Roman" w:hAnsi="Times New Roman" w:cs="Times New Roman"/>
          <w:sz w:val="24"/>
          <w:szCs w:val="24"/>
        </w:rPr>
        <w:t xml:space="preserve"> в ПИФ</w:t>
      </w:r>
      <w:r w:rsidR="00EC7A8C" w:rsidRPr="005A0DBE">
        <w:rPr>
          <w:rFonts w:ascii="Times New Roman" w:hAnsi="Times New Roman" w:cs="Times New Roman"/>
          <w:sz w:val="24"/>
          <w:szCs w:val="24"/>
        </w:rPr>
        <w:t xml:space="preserve"> дебиторской задолженности по возмещению суммы налога, в размере, указанном в таком решении.</w:t>
      </w:r>
    </w:p>
    <w:p w:rsidR="00A24B43" w:rsidRPr="00BB4123" w:rsidRDefault="005A6EA4" w:rsidP="00153D10">
      <w:pPr>
        <w:rPr>
          <w:rFonts w:ascii="Times New Roman" w:hAnsi="Times New Roman" w:cs="Times New Roman"/>
          <w:sz w:val="24"/>
          <w:szCs w:val="24"/>
        </w:rPr>
      </w:pPr>
      <w:r w:rsidRPr="00BB4123">
        <w:rPr>
          <w:rFonts w:ascii="Times New Roman" w:hAnsi="Times New Roman" w:cs="Times New Roman"/>
          <w:sz w:val="24"/>
          <w:szCs w:val="24"/>
        </w:rPr>
        <w:t>Справедливая стоимость дебиторской задолженности</w:t>
      </w:r>
      <w:r w:rsidR="00143660" w:rsidRPr="00BB4123">
        <w:rPr>
          <w:rFonts w:ascii="Times New Roman" w:hAnsi="Times New Roman" w:cs="Times New Roman"/>
          <w:sz w:val="24"/>
          <w:szCs w:val="24"/>
        </w:rPr>
        <w:t xml:space="preserve"> по </w:t>
      </w:r>
      <w:r w:rsidR="004041FD" w:rsidRPr="00BB4123">
        <w:rPr>
          <w:rFonts w:ascii="Times New Roman" w:hAnsi="Times New Roman" w:cs="Times New Roman"/>
          <w:sz w:val="24"/>
          <w:szCs w:val="24"/>
        </w:rPr>
        <w:t xml:space="preserve">незавершенным сделкам купли-продажи ценных бумаг (Т+), сделкам РЕПО и сделкам с производными финансовыми инструментами </w:t>
      </w:r>
      <w:r w:rsidRPr="00BB4123">
        <w:rPr>
          <w:rFonts w:ascii="Times New Roman" w:hAnsi="Times New Roman" w:cs="Times New Roman"/>
          <w:sz w:val="24"/>
          <w:szCs w:val="24"/>
        </w:rPr>
        <w:t xml:space="preserve">определяется в порядке, установленном </w:t>
      </w:r>
      <w:r w:rsidR="00C412E5" w:rsidRPr="00BB4123">
        <w:rPr>
          <w:rFonts w:ascii="Times New Roman" w:hAnsi="Times New Roman" w:cs="Times New Roman"/>
          <w:sz w:val="24"/>
          <w:szCs w:val="24"/>
        </w:rPr>
        <w:t>для оценки таких сделок</w:t>
      </w:r>
      <w:r w:rsidR="002E051F" w:rsidRPr="00BB4123">
        <w:rPr>
          <w:rFonts w:ascii="Times New Roman" w:hAnsi="Times New Roman" w:cs="Times New Roman"/>
          <w:sz w:val="24"/>
          <w:szCs w:val="24"/>
        </w:rPr>
        <w:t xml:space="preserve"> в Правилах определения СЧА</w:t>
      </w:r>
      <w:r w:rsidR="00BB517B" w:rsidRPr="00BB4123">
        <w:rPr>
          <w:rFonts w:ascii="Times New Roman" w:hAnsi="Times New Roman" w:cs="Times New Roman"/>
          <w:sz w:val="24"/>
          <w:szCs w:val="24"/>
        </w:rPr>
        <w:t>.</w:t>
      </w:r>
    </w:p>
    <w:sectPr w:rsidR="00A24B43" w:rsidRPr="00BB4123" w:rsidSect="00A235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3842"/>
    <w:multiLevelType w:val="hybridMultilevel"/>
    <w:tmpl w:val="0C68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B10"/>
    <w:multiLevelType w:val="hybridMultilevel"/>
    <w:tmpl w:val="4542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4BA"/>
    <w:multiLevelType w:val="hybridMultilevel"/>
    <w:tmpl w:val="5BBE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13D0"/>
    <w:multiLevelType w:val="hybridMultilevel"/>
    <w:tmpl w:val="C106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291C"/>
    <w:multiLevelType w:val="hybridMultilevel"/>
    <w:tmpl w:val="9510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B2C34"/>
    <w:multiLevelType w:val="hybridMultilevel"/>
    <w:tmpl w:val="466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5F26"/>
    <w:multiLevelType w:val="hybridMultilevel"/>
    <w:tmpl w:val="08089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156B9"/>
    <w:multiLevelType w:val="hybridMultilevel"/>
    <w:tmpl w:val="3A02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74C8"/>
    <w:multiLevelType w:val="hybridMultilevel"/>
    <w:tmpl w:val="732E253E"/>
    <w:lvl w:ilvl="0" w:tplc="2B083F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2145ABB"/>
    <w:multiLevelType w:val="hybridMultilevel"/>
    <w:tmpl w:val="A5DA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E0887"/>
    <w:multiLevelType w:val="hybridMultilevel"/>
    <w:tmpl w:val="AC362222"/>
    <w:lvl w:ilvl="0" w:tplc="F15A9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21257"/>
    <w:multiLevelType w:val="hybridMultilevel"/>
    <w:tmpl w:val="C214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7A"/>
    <w:rsid w:val="00007CDD"/>
    <w:rsid w:val="00026478"/>
    <w:rsid w:val="00041F55"/>
    <w:rsid w:val="00055A9B"/>
    <w:rsid w:val="000611B5"/>
    <w:rsid w:val="00065E5C"/>
    <w:rsid w:val="0007577B"/>
    <w:rsid w:val="000838DC"/>
    <w:rsid w:val="00090298"/>
    <w:rsid w:val="000A4EAF"/>
    <w:rsid w:val="000C0150"/>
    <w:rsid w:val="000F6919"/>
    <w:rsid w:val="0010046D"/>
    <w:rsid w:val="00104994"/>
    <w:rsid w:val="00105E61"/>
    <w:rsid w:val="0011249A"/>
    <w:rsid w:val="00112DF8"/>
    <w:rsid w:val="001142C8"/>
    <w:rsid w:val="0011459A"/>
    <w:rsid w:val="00122FC0"/>
    <w:rsid w:val="00123168"/>
    <w:rsid w:val="001243B6"/>
    <w:rsid w:val="0012521C"/>
    <w:rsid w:val="001400CE"/>
    <w:rsid w:val="00143660"/>
    <w:rsid w:val="00153D10"/>
    <w:rsid w:val="00156F2B"/>
    <w:rsid w:val="0016419E"/>
    <w:rsid w:val="00166E56"/>
    <w:rsid w:val="001813E1"/>
    <w:rsid w:val="00181FED"/>
    <w:rsid w:val="00185FE2"/>
    <w:rsid w:val="001877CF"/>
    <w:rsid w:val="00190F29"/>
    <w:rsid w:val="001A12B1"/>
    <w:rsid w:val="001A2565"/>
    <w:rsid w:val="001A2F5E"/>
    <w:rsid w:val="001A6622"/>
    <w:rsid w:val="001B2F0D"/>
    <w:rsid w:val="001B6054"/>
    <w:rsid w:val="001C346D"/>
    <w:rsid w:val="001F6454"/>
    <w:rsid w:val="00200025"/>
    <w:rsid w:val="002004F8"/>
    <w:rsid w:val="002045EA"/>
    <w:rsid w:val="002125DF"/>
    <w:rsid w:val="00222C10"/>
    <w:rsid w:val="00230B9C"/>
    <w:rsid w:val="00285588"/>
    <w:rsid w:val="00287F29"/>
    <w:rsid w:val="00293601"/>
    <w:rsid w:val="00296721"/>
    <w:rsid w:val="002C3E35"/>
    <w:rsid w:val="002D2A36"/>
    <w:rsid w:val="002E051F"/>
    <w:rsid w:val="00300313"/>
    <w:rsid w:val="00304A07"/>
    <w:rsid w:val="0032387E"/>
    <w:rsid w:val="00340943"/>
    <w:rsid w:val="00351BD2"/>
    <w:rsid w:val="00353C83"/>
    <w:rsid w:val="00392232"/>
    <w:rsid w:val="00393597"/>
    <w:rsid w:val="0039530D"/>
    <w:rsid w:val="003B0156"/>
    <w:rsid w:val="004023A8"/>
    <w:rsid w:val="004041FD"/>
    <w:rsid w:val="00410FAB"/>
    <w:rsid w:val="00414B7C"/>
    <w:rsid w:val="00415A14"/>
    <w:rsid w:val="00417F9D"/>
    <w:rsid w:val="0042698B"/>
    <w:rsid w:val="0043565B"/>
    <w:rsid w:val="00452818"/>
    <w:rsid w:val="00471E4F"/>
    <w:rsid w:val="00474FC2"/>
    <w:rsid w:val="00487C73"/>
    <w:rsid w:val="00490713"/>
    <w:rsid w:val="00491632"/>
    <w:rsid w:val="00493409"/>
    <w:rsid w:val="0049347D"/>
    <w:rsid w:val="004A4E41"/>
    <w:rsid w:val="004D1C38"/>
    <w:rsid w:val="004E1F0E"/>
    <w:rsid w:val="005003DB"/>
    <w:rsid w:val="00516D42"/>
    <w:rsid w:val="005216FF"/>
    <w:rsid w:val="00525081"/>
    <w:rsid w:val="005271BD"/>
    <w:rsid w:val="005404EB"/>
    <w:rsid w:val="00546979"/>
    <w:rsid w:val="00557022"/>
    <w:rsid w:val="00564436"/>
    <w:rsid w:val="00573C7C"/>
    <w:rsid w:val="00575CF4"/>
    <w:rsid w:val="005847E1"/>
    <w:rsid w:val="00590C66"/>
    <w:rsid w:val="00593545"/>
    <w:rsid w:val="00597596"/>
    <w:rsid w:val="005A0DBE"/>
    <w:rsid w:val="005A39ED"/>
    <w:rsid w:val="005A6EA4"/>
    <w:rsid w:val="005C082A"/>
    <w:rsid w:val="005C5C6B"/>
    <w:rsid w:val="005F4FEB"/>
    <w:rsid w:val="005F6BCE"/>
    <w:rsid w:val="00625836"/>
    <w:rsid w:val="006432EB"/>
    <w:rsid w:val="00683E7A"/>
    <w:rsid w:val="006943F9"/>
    <w:rsid w:val="006A4E93"/>
    <w:rsid w:val="006B726C"/>
    <w:rsid w:val="006C0A89"/>
    <w:rsid w:val="006F7160"/>
    <w:rsid w:val="00702C5C"/>
    <w:rsid w:val="007073A7"/>
    <w:rsid w:val="00720612"/>
    <w:rsid w:val="007230E4"/>
    <w:rsid w:val="00730210"/>
    <w:rsid w:val="00742CD8"/>
    <w:rsid w:val="007548C9"/>
    <w:rsid w:val="00765FD8"/>
    <w:rsid w:val="00771681"/>
    <w:rsid w:val="007725F8"/>
    <w:rsid w:val="00795004"/>
    <w:rsid w:val="007A2ACF"/>
    <w:rsid w:val="007A2B1A"/>
    <w:rsid w:val="007A37C0"/>
    <w:rsid w:val="007A7A54"/>
    <w:rsid w:val="007B7311"/>
    <w:rsid w:val="007C1E89"/>
    <w:rsid w:val="007C3D1B"/>
    <w:rsid w:val="007D47B3"/>
    <w:rsid w:val="007D4A29"/>
    <w:rsid w:val="007E5EF3"/>
    <w:rsid w:val="00803A3C"/>
    <w:rsid w:val="00820948"/>
    <w:rsid w:val="00822091"/>
    <w:rsid w:val="00830094"/>
    <w:rsid w:val="00834D4B"/>
    <w:rsid w:val="00845CCD"/>
    <w:rsid w:val="00863E89"/>
    <w:rsid w:val="00865C2D"/>
    <w:rsid w:val="008826FF"/>
    <w:rsid w:val="00891E6A"/>
    <w:rsid w:val="00895D47"/>
    <w:rsid w:val="008974CF"/>
    <w:rsid w:val="008B062E"/>
    <w:rsid w:val="008B4F9F"/>
    <w:rsid w:val="008C1468"/>
    <w:rsid w:val="008C6AF6"/>
    <w:rsid w:val="00907E34"/>
    <w:rsid w:val="00923C93"/>
    <w:rsid w:val="00926336"/>
    <w:rsid w:val="0093313D"/>
    <w:rsid w:val="00933CE2"/>
    <w:rsid w:val="00944BB7"/>
    <w:rsid w:val="00952BAC"/>
    <w:rsid w:val="00955A4B"/>
    <w:rsid w:val="00955CD0"/>
    <w:rsid w:val="0096094E"/>
    <w:rsid w:val="00963A5E"/>
    <w:rsid w:val="00967E21"/>
    <w:rsid w:val="00980B29"/>
    <w:rsid w:val="009B02E7"/>
    <w:rsid w:val="009B363F"/>
    <w:rsid w:val="009B5A18"/>
    <w:rsid w:val="009B5F05"/>
    <w:rsid w:val="009C0E52"/>
    <w:rsid w:val="009C6824"/>
    <w:rsid w:val="009D61E5"/>
    <w:rsid w:val="009E5728"/>
    <w:rsid w:val="00A04927"/>
    <w:rsid w:val="00A074C0"/>
    <w:rsid w:val="00A079AB"/>
    <w:rsid w:val="00A11396"/>
    <w:rsid w:val="00A121FA"/>
    <w:rsid w:val="00A15291"/>
    <w:rsid w:val="00A2357A"/>
    <w:rsid w:val="00A24B43"/>
    <w:rsid w:val="00A31400"/>
    <w:rsid w:val="00A52DAD"/>
    <w:rsid w:val="00A72365"/>
    <w:rsid w:val="00A77E08"/>
    <w:rsid w:val="00AB3FE1"/>
    <w:rsid w:val="00AF54CF"/>
    <w:rsid w:val="00B03542"/>
    <w:rsid w:val="00B20AAD"/>
    <w:rsid w:val="00B30859"/>
    <w:rsid w:val="00B34926"/>
    <w:rsid w:val="00B3612D"/>
    <w:rsid w:val="00B5327E"/>
    <w:rsid w:val="00B62399"/>
    <w:rsid w:val="00B71857"/>
    <w:rsid w:val="00B76176"/>
    <w:rsid w:val="00B76296"/>
    <w:rsid w:val="00B934EA"/>
    <w:rsid w:val="00B94752"/>
    <w:rsid w:val="00BB4123"/>
    <w:rsid w:val="00BB517B"/>
    <w:rsid w:val="00BC0596"/>
    <w:rsid w:val="00BC5205"/>
    <w:rsid w:val="00BD5679"/>
    <w:rsid w:val="00BE4A8A"/>
    <w:rsid w:val="00BE54BB"/>
    <w:rsid w:val="00BF28AF"/>
    <w:rsid w:val="00BF792E"/>
    <w:rsid w:val="00C0154D"/>
    <w:rsid w:val="00C177DA"/>
    <w:rsid w:val="00C27604"/>
    <w:rsid w:val="00C30488"/>
    <w:rsid w:val="00C337A2"/>
    <w:rsid w:val="00C365FB"/>
    <w:rsid w:val="00C412E5"/>
    <w:rsid w:val="00C5228E"/>
    <w:rsid w:val="00C54C03"/>
    <w:rsid w:val="00C952FA"/>
    <w:rsid w:val="00CA3F81"/>
    <w:rsid w:val="00CA7E2E"/>
    <w:rsid w:val="00CB246D"/>
    <w:rsid w:val="00CC4598"/>
    <w:rsid w:val="00CC59E6"/>
    <w:rsid w:val="00CD1A2A"/>
    <w:rsid w:val="00CF0E19"/>
    <w:rsid w:val="00D04CE9"/>
    <w:rsid w:val="00D05E92"/>
    <w:rsid w:val="00D16821"/>
    <w:rsid w:val="00D20419"/>
    <w:rsid w:val="00D27377"/>
    <w:rsid w:val="00D32807"/>
    <w:rsid w:val="00D5296F"/>
    <w:rsid w:val="00D60EFC"/>
    <w:rsid w:val="00D63C92"/>
    <w:rsid w:val="00D653F2"/>
    <w:rsid w:val="00D829A8"/>
    <w:rsid w:val="00D90EFD"/>
    <w:rsid w:val="00D92B5E"/>
    <w:rsid w:val="00D95BB4"/>
    <w:rsid w:val="00DA0C52"/>
    <w:rsid w:val="00DA17A4"/>
    <w:rsid w:val="00DA4F33"/>
    <w:rsid w:val="00DB1EA9"/>
    <w:rsid w:val="00DB343B"/>
    <w:rsid w:val="00DE1A58"/>
    <w:rsid w:val="00DF58BF"/>
    <w:rsid w:val="00DF746C"/>
    <w:rsid w:val="00E02B41"/>
    <w:rsid w:val="00E16331"/>
    <w:rsid w:val="00E17515"/>
    <w:rsid w:val="00E33021"/>
    <w:rsid w:val="00E376E5"/>
    <w:rsid w:val="00E46A0C"/>
    <w:rsid w:val="00E47300"/>
    <w:rsid w:val="00E54910"/>
    <w:rsid w:val="00E814B6"/>
    <w:rsid w:val="00E90617"/>
    <w:rsid w:val="00EA03EF"/>
    <w:rsid w:val="00EA18EE"/>
    <w:rsid w:val="00EA4872"/>
    <w:rsid w:val="00EA4D5C"/>
    <w:rsid w:val="00EC10E4"/>
    <w:rsid w:val="00EC1E17"/>
    <w:rsid w:val="00EC71F8"/>
    <w:rsid w:val="00EC7A8C"/>
    <w:rsid w:val="00EF1661"/>
    <w:rsid w:val="00EF4E38"/>
    <w:rsid w:val="00EF6B03"/>
    <w:rsid w:val="00F00142"/>
    <w:rsid w:val="00F30BC2"/>
    <w:rsid w:val="00F3765C"/>
    <w:rsid w:val="00F56EED"/>
    <w:rsid w:val="00F63A82"/>
    <w:rsid w:val="00F7589B"/>
    <w:rsid w:val="00F84F40"/>
    <w:rsid w:val="00F93A01"/>
    <w:rsid w:val="00FA2F8B"/>
    <w:rsid w:val="00FA6347"/>
    <w:rsid w:val="00FD21EB"/>
    <w:rsid w:val="00FD67B2"/>
    <w:rsid w:val="00FD691D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D560"/>
  <w15:docId w15:val="{BE929559-BC97-4763-90D5-91BDEBFF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A8A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718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7185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7185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718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7185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8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E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7A3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Аникин Илья Андреевич</dc:creator>
  <cp:lastModifiedBy>Сулимова Мария Ильинична</cp:lastModifiedBy>
  <cp:revision>4</cp:revision>
  <dcterms:created xsi:type="dcterms:W3CDTF">2026-05-14T09:25:00Z</dcterms:created>
  <dcterms:modified xsi:type="dcterms:W3CDTF">2026-06-01T13:57:00Z</dcterms:modified>
</cp:coreProperties>
</file>